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CF" w:rsidRPr="008462CF" w:rsidRDefault="001E6BB4" w:rsidP="008462CF">
      <w:pPr>
        <w:spacing w:after="120" w:line="24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Style w:val="Strong"/>
          <w:rFonts w:cs="Times New Roman"/>
          <w:sz w:val="22"/>
          <w:szCs w:val="22"/>
          <w:shd w:val="clear" w:color="auto" w:fill="FFFFFF"/>
        </w:rPr>
        <w:t xml:space="preserve">Zakon o </w:t>
      </w:r>
      <w:r w:rsidR="008462CF" w:rsidRPr="008462CF">
        <w:rPr>
          <w:rStyle w:val="Strong"/>
          <w:rFonts w:cs="Times New Roman"/>
          <w:sz w:val="22"/>
          <w:szCs w:val="22"/>
          <w:shd w:val="clear" w:color="auto" w:fill="FFFFFF"/>
        </w:rPr>
        <w:t>gospodarenju otpadom </w:t>
      </w:r>
      <w:r w:rsidR="008462CF" w:rsidRPr="008462CF">
        <w:rPr>
          <w:rFonts w:cs="Times New Roman"/>
          <w:sz w:val="22"/>
          <w:szCs w:val="22"/>
          <w:shd w:val="clear" w:color="auto" w:fill="FFFFFF"/>
        </w:rPr>
        <w:t>(</w:t>
      </w:r>
      <w:hyperlink r:id="rId5" w:history="1">
        <w:r w:rsidR="009068A4" w:rsidRPr="001E6BB4">
          <w:rPr>
            <w:rStyle w:val="Hyperlink"/>
            <w:rFonts w:cs="Times New Roman"/>
            <w:sz w:val="22"/>
            <w:szCs w:val="22"/>
            <w:shd w:val="clear" w:color="auto" w:fill="FFFFFF"/>
          </w:rPr>
          <w:t>NN 84/2021</w:t>
        </w:r>
      </w:hyperlink>
      <w:bookmarkStart w:id="0" w:name="_GoBack"/>
      <w:bookmarkEnd w:id="0"/>
      <w:r w:rsidR="008462CF" w:rsidRPr="008462CF">
        <w:rPr>
          <w:rFonts w:cs="Times New Roman"/>
          <w:sz w:val="22"/>
          <w:szCs w:val="22"/>
          <w:shd w:val="clear" w:color="auto" w:fill="FFFFFF"/>
        </w:rPr>
        <w:t>)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inherit" w:hAnsi="inherit"/>
          <w:i/>
          <w:iCs/>
          <w:color w:val="231F20"/>
          <w:sz w:val="26"/>
          <w:szCs w:val="26"/>
          <w:bdr w:val="none" w:sz="0" w:space="0" w:color="auto" w:frame="1"/>
        </w:rPr>
      </w:pPr>
    </w:p>
    <w:p w:rsidR="009068A4" w:rsidRDefault="009068A4" w:rsidP="009068A4">
      <w:pPr>
        <w:pStyle w:val="box468252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inherit" w:hAnsi="inherit"/>
          <w:i/>
          <w:iCs/>
          <w:color w:val="231F20"/>
          <w:sz w:val="26"/>
          <w:szCs w:val="26"/>
          <w:bdr w:val="none" w:sz="0" w:space="0" w:color="auto" w:frame="1"/>
        </w:rPr>
        <w:t>Područje primjene Zakona</w:t>
      </w:r>
    </w:p>
    <w:p w:rsidR="009068A4" w:rsidRDefault="009068A4" w:rsidP="009068A4">
      <w:pPr>
        <w:pStyle w:val="box468252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Odredbe ovoga Zakona ne primjenjuju se na: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plinovite tvari koje se ispuštaju u atmosferu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zemlju/tlo (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</w:rPr>
        <w:t xml:space="preserve"> situ) uključujući neiskopano onečišćeno tlo i građevine trajno povezane sa zemljištem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neonečišćeno tlo i druge materijale iz prirode iskopane tijekom građevinskih aktivnosti ako je nedvojbeno da će se taj materijal za građevinske svrhe koristiti u svojem prirodnom obliku na gradilištu s kojeg je iskopan te na višak iskopa koji sukladno zakonu kojim se uređuje rudarstvo predstavlja mineralnu sirovinu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4. radioaktivni otpad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5. eksplozivne tvari nepodesne za uporabu i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6. fekalije koje nisu obuhvaćene stavkom 2. točkom 2. ovoga članka, slamu i drugi prirodni neopasni poljoprivredni ili šumski materijal koji se koristi u poljoprivredi, šumarstvu ili za proizvodnju energije iz takve biomase postupcima ili metodama koje ne štete okolišu i ne ugrožavaju zdravlje ljudi.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Odredbe ovoga Zakona ne primjenjuju se, u mjeri u kojoj je to propisano drugim propisima, na: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otpadne vode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nusproizvode životinjskoga podrijetla uključujući prerađene proizvode na koje se odnosi Uredba (EZ) br. 1069/2009 Europskog parlamenta i Vijeća od 21. listopada 2009. o utvrđivanju zdravstvenih pravila za nusproizvode životinjskog podrijetla i od njih dobivene proizvode koji nisu namijenjeni prehrani ljudi te o stavljanju izvan snage Uredbe (EZ) br. 1774/2002 (Uredba o nusproizvodima životinjskog podrijetla) (SL 300, 14. 11. 2009.); (u daljnjem tekstu: Uredba (EZ) br. 1069/2009), kako je zadnje izmijenjena Uredbom Vijeća (EU) br. 1385/2013 od 17. prosinca 2013. o izmjeni uredbi Vijeća (EZ) br. 850/98 i (EZ) br. 1224/2009 i uredbi (EZ) br. 1069/2009, (EU) br. 1379/2013 i (EU) br. 1380/2013 Europskog parlamenta i Vijeća zbog izmjene statusa departmana </w:t>
      </w:r>
      <w:proofErr w:type="spellStart"/>
      <w:r>
        <w:rPr>
          <w:color w:val="231F20"/>
        </w:rPr>
        <w:t>Mayotte</w:t>
      </w:r>
      <w:proofErr w:type="spellEnd"/>
      <w:r>
        <w:rPr>
          <w:color w:val="231F20"/>
        </w:rPr>
        <w:t xml:space="preserve"> u odnosu na Europsku uniju (SL L 354, 28. 12. 2013.), osim onih koji su namijenjeni spaljivanju, odlaganju na odlagališta ili uporabi u postrojenjima za proizvodnju bioplina ili komposta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strvine uginulih životinja koje nisu zaklane, uključujući životinje usmrćene radi istrebljenja </w:t>
      </w:r>
      <w:proofErr w:type="spellStart"/>
      <w:r>
        <w:rPr>
          <w:color w:val="231F20"/>
        </w:rPr>
        <w:t>epizootskih</w:t>
      </w:r>
      <w:proofErr w:type="spellEnd"/>
      <w:r>
        <w:rPr>
          <w:color w:val="231F20"/>
        </w:rPr>
        <w:t xml:space="preserve"> bolesti, koje se zbrinjavaju sukladno Uredbi (EZ) br. 1069/2009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4. otpad koji nastaje istraživanjem, iskapanjem, obrađivanjem i skladištenjem mineralnih sirovina te radom kamenoloma, a koji je obuhvaćen posebnim propisom kojim se uređuje gospodarenje otpadom iz rudarske industrije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5. tvari namijenjene uporabi kao krmiva kako je određeno Uredbom (EZ) br. 767/2009 Europskog parlamenta i Vijeća od 13. srpnja 2009. o stavljanju na tržište i korištenju hrane za životinje, izmjeni Uredbe (EZ) br. 1831/2003 Europskog parlamenta i Vijeća i stavljanju izvan snage Direktive Vijeća 79/373/EEZ, Direktive Komisije 80/511/EEZ, direktiva Vijeća 82/471/EEZ, 83/228/EEZ, 93/74/EEZ, 93/113/EZ i 96/25/EZ te Odluke Komisije 2004/217/EZ (SL L 229, 13. 07.2 009.) i ne sastoje se od nusproizvoda životinjskog podrijetla niti ih sadržavaju i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6. brodove obuhvaćene Uredbom (EU) br. 1257/2013 Europskog parlamenta i Vijeća od 20. studenoga 2013. o recikliranju brodova i o izmjeni Uredbe (EZ) br. 1013/2006 i Direktive 2009/16/EZ (SL L 330, 10. 12. 2013.).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Odredbe ovoga Zakona ne odnose se na sedimente koji se premještaju unutar površinskih voda radi gospodarenja vodama i vodenim tokovima ili sprječavanja poplava ili ublažavanja posljedica poplava, suša ili regeneracije zemljišta ako se dokaže da ti sedimenti nisu opasni.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Na pomorske objekte i na organizaciju i provedbu sakupljanja, predaje i prihvata otpada u lučke uređaje za prihvat otpada te na ostatke brodskog tereta primjenjuju se odredbe propisa kojim se uređuje pomorstvo.</w:t>
      </w:r>
    </w:p>
    <w:p w:rsidR="009068A4" w:rsidRDefault="009068A4" w:rsidP="009068A4">
      <w:pPr>
        <w:pStyle w:val="box46825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(5) Odredbe ovoga Zakona ne odnose se na sprječavanje nastajanja otpada od hrane, koje je regulirano posebnim propisom u nadležnosti ministarstva nadležnog za poslove poljoprivrede.</w:t>
      </w:r>
    </w:p>
    <w:p w:rsidR="00FB1236" w:rsidRPr="008462CF" w:rsidRDefault="00FB1236" w:rsidP="009068A4">
      <w:pPr>
        <w:spacing w:after="120" w:line="240" w:lineRule="auto"/>
        <w:jc w:val="both"/>
        <w:rPr>
          <w:rFonts w:cs="Times New Roman"/>
          <w:sz w:val="22"/>
          <w:szCs w:val="22"/>
        </w:rPr>
      </w:pPr>
    </w:p>
    <w:sectPr w:rsidR="00FB1236" w:rsidRPr="0084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5DA2"/>
    <w:multiLevelType w:val="multilevel"/>
    <w:tmpl w:val="9A24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6"/>
    <w:rsid w:val="001E6BB4"/>
    <w:rsid w:val="002E4A5F"/>
    <w:rsid w:val="008462CF"/>
    <w:rsid w:val="009068A4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46EFB-4E49-43E9-8264-59451B1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egoe UI"/>
        <w:sz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B1236"/>
    <w:rPr>
      <w:i/>
      <w:iCs/>
    </w:rPr>
  </w:style>
  <w:style w:type="character" w:styleId="Strong">
    <w:name w:val="Strong"/>
    <w:basedOn w:val="DefaultParagraphFont"/>
    <w:uiPriority w:val="22"/>
    <w:qFormat/>
    <w:rsid w:val="008462CF"/>
    <w:rPr>
      <w:b/>
      <w:bCs/>
    </w:rPr>
  </w:style>
  <w:style w:type="character" w:styleId="Hyperlink">
    <w:name w:val="Hyperlink"/>
    <w:basedOn w:val="DefaultParagraphFont"/>
    <w:uiPriority w:val="99"/>
    <w:unhideWhenUsed/>
    <w:rsid w:val="008462CF"/>
    <w:rPr>
      <w:color w:val="0000FF"/>
      <w:u w:val="single"/>
    </w:rPr>
  </w:style>
  <w:style w:type="paragraph" w:customStyle="1" w:styleId="box468252">
    <w:name w:val="box_468252"/>
    <w:basedOn w:val="Normal"/>
    <w:rsid w:val="009068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kurziv">
    <w:name w:val="kurziv"/>
    <w:basedOn w:val="DefaultParagraphFont"/>
    <w:rsid w:val="0090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550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21_07_84_1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Kufrin</dc:creator>
  <cp:keywords/>
  <dc:description/>
  <cp:lastModifiedBy>Jasna Kufrin</cp:lastModifiedBy>
  <cp:revision>3</cp:revision>
  <dcterms:created xsi:type="dcterms:W3CDTF">2022-09-16T12:20:00Z</dcterms:created>
  <dcterms:modified xsi:type="dcterms:W3CDTF">2022-09-16T12:21:00Z</dcterms:modified>
</cp:coreProperties>
</file>