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CF" w:rsidRPr="008462CF" w:rsidRDefault="008462CF" w:rsidP="008462CF">
      <w:pPr>
        <w:spacing w:after="120" w:line="240" w:lineRule="auto"/>
        <w:rPr>
          <w:rFonts w:cs="Times New Roman"/>
          <w:sz w:val="22"/>
          <w:szCs w:val="22"/>
          <w:shd w:val="clear" w:color="auto" w:fill="FFFFFF"/>
        </w:rPr>
      </w:pPr>
      <w:r w:rsidRPr="008462CF">
        <w:rPr>
          <w:rStyle w:val="Strong"/>
          <w:rFonts w:cs="Times New Roman"/>
          <w:sz w:val="22"/>
          <w:szCs w:val="22"/>
          <w:shd w:val="clear" w:color="auto" w:fill="FFFFFF"/>
        </w:rPr>
        <w:t>Zakon</w:t>
      </w:r>
      <w:r w:rsidRPr="008462CF">
        <w:rPr>
          <w:rStyle w:val="Strong"/>
          <w:rFonts w:cs="Times New Roman"/>
          <w:sz w:val="22"/>
          <w:szCs w:val="22"/>
          <w:shd w:val="clear" w:color="auto" w:fill="FFFFFF"/>
        </w:rPr>
        <w:t xml:space="preserve"> o održivom gospodarenju otpadom </w:t>
      </w:r>
      <w:r w:rsidRPr="008462CF">
        <w:rPr>
          <w:rFonts w:cs="Times New Roman"/>
          <w:sz w:val="22"/>
          <w:szCs w:val="22"/>
          <w:shd w:val="clear" w:color="auto" w:fill="FFFFFF"/>
        </w:rPr>
        <w:t>(</w:t>
      </w:r>
      <w:hyperlink r:id="rId5" w:history="1">
        <w:r w:rsidRPr="008462CF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NN 94/13</w:t>
        </w:r>
      </w:hyperlink>
      <w:r w:rsidRPr="008462CF">
        <w:rPr>
          <w:rFonts w:cs="Times New Roman"/>
          <w:sz w:val="22"/>
          <w:szCs w:val="22"/>
          <w:shd w:val="clear" w:color="auto" w:fill="FFFFFF"/>
        </w:rPr>
        <w:t>, </w:t>
      </w:r>
      <w:hyperlink r:id="rId6" w:history="1">
        <w:r w:rsidRPr="008462CF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73/17</w:t>
        </w:r>
      </w:hyperlink>
      <w:r w:rsidRPr="008462CF">
        <w:rPr>
          <w:rFonts w:cs="Times New Roman"/>
          <w:sz w:val="22"/>
          <w:szCs w:val="22"/>
          <w:shd w:val="clear" w:color="auto" w:fill="FFFFFF"/>
        </w:rPr>
        <w:t>, </w:t>
      </w:r>
      <w:hyperlink r:id="rId7" w:history="1">
        <w:r w:rsidRPr="008462CF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14/19,</w:t>
        </w:r>
      </w:hyperlink>
      <w:r w:rsidRPr="008462CF">
        <w:rPr>
          <w:rFonts w:cs="Times New Roman"/>
          <w:sz w:val="22"/>
          <w:szCs w:val="22"/>
          <w:shd w:val="clear" w:color="auto" w:fill="FFFFFF"/>
        </w:rPr>
        <w:t> </w:t>
      </w:r>
      <w:hyperlink r:id="rId8" w:history="1">
        <w:r w:rsidRPr="008462CF">
          <w:rPr>
            <w:rStyle w:val="Hyperlink"/>
            <w:rFonts w:cs="Times New Roman"/>
            <w:color w:val="auto"/>
            <w:sz w:val="22"/>
            <w:szCs w:val="22"/>
            <w:shd w:val="clear" w:color="auto" w:fill="FFFFFF"/>
          </w:rPr>
          <w:t>98/2019</w:t>
        </w:r>
      </w:hyperlink>
      <w:r w:rsidRPr="008462CF">
        <w:rPr>
          <w:rFonts w:cs="Times New Roman"/>
          <w:sz w:val="22"/>
          <w:szCs w:val="22"/>
          <w:shd w:val="clear" w:color="auto" w:fill="FFFFFF"/>
        </w:rPr>
        <w:t>)</w:t>
      </w:r>
    </w:p>
    <w:p w:rsidR="00FB1236" w:rsidRDefault="00FB1236" w:rsidP="008462CF">
      <w:pPr>
        <w:spacing w:after="120"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8462CF">
        <w:rPr>
          <w:rFonts w:eastAsia="Times New Roman" w:cs="Times New Roman"/>
          <w:b/>
          <w:sz w:val="22"/>
          <w:szCs w:val="22"/>
        </w:rPr>
        <w:t>Članak 3.</w:t>
      </w:r>
    </w:p>
    <w:p w:rsidR="00FB1236" w:rsidRPr="008462CF" w:rsidRDefault="00FB1236" w:rsidP="008462CF">
      <w:pPr>
        <w:spacing w:after="120" w:line="240" w:lineRule="auto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(1) Odredbe ovoga Zakona ne primjenjuju se na: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1. plinovite tvari koje se ispuštaju u atmosferu i ugljikov dioksid izdvojen i transportiran u svrhu geološkog skladištenja i geološki uskladišten u skladu s posebnim propisom kojim se uređuje geološko skladištenje ugljikovog dioksida,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2. zemlju/tlo (</w:t>
      </w:r>
      <w:proofErr w:type="spellStart"/>
      <w:r w:rsidRPr="008462CF">
        <w:rPr>
          <w:rFonts w:eastAsia="Times New Roman" w:cs="Times New Roman"/>
          <w:sz w:val="22"/>
          <w:szCs w:val="22"/>
        </w:rPr>
        <w:t>in</w:t>
      </w:r>
      <w:proofErr w:type="spellEnd"/>
      <w:r w:rsidRPr="008462CF">
        <w:rPr>
          <w:rFonts w:eastAsia="Times New Roman" w:cs="Times New Roman"/>
          <w:sz w:val="22"/>
          <w:szCs w:val="22"/>
        </w:rPr>
        <w:t xml:space="preserve"> situ) uključujući neiskopano onečišćeno tlo i građevine trajno povezane sa zemljištem,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3. neonečišćeno tlo i druge materijale iz prirode iskopane tijekom građevinskih aktivnosti ukoliko je nedvojbeno da će se taj materijal za građevinske svrhe koristiti u svojem prirodnom obliku na gradilištu s kojeg je iskopan te na višak iskopa koji sukladno zakonu kojim se uređuje rudarstvo predstavlja mineralnu sirovinu,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4. radioaktivni otpad,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5. eksplozivne tvari nepodesne za uporabu,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  <w:lang w:eastAsia="hr-HR"/>
        </w:rPr>
      </w:pPr>
      <w:r w:rsidRPr="008462CF">
        <w:rPr>
          <w:rFonts w:eastAsia="Times New Roman" w:cs="Times New Roman"/>
          <w:sz w:val="22"/>
          <w:szCs w:val="22"/>
          <w:lang w:eastAsia="hr-HR"/>
        </w:rPr>
        <w:t>6. fekalije koje nisu obuhvaćene stavkom 2. točkom 2. ovoga članka, slamu i drugi prirodni neopasni poljoprivredni ili šumski materijal koji se koristi u poljoprivredi, šumarstvu ili za proizvodnju energije iz takve biomase postupcima ili metodama koje ne štete okolišu i ne ugrožavaju zdravlje ljudi</w:t>
      </w:r>
    </w:p>
    <w:p w:rsidR="00FB1236" w:rsidRPr="008462CF" w:rsidRDefault="00FB1236" w:rsidP="008462CF">
      <w:pPr>
        <w:spacing w:after="120" w:line="240" w:lineRule="auto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(2) Odredbe ovoga Zakona ne primjenjuju se, u mjeri u kojoj je to propisano drugim propisima, na: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>1. otpadne vode,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trike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  <w:lang w:eastAsia="hr-HR"/>
        </w:rPr>
        <w:t xml:space="preserve">2. nusproizvode životinjskoga podrijetla uključujući prerađene proizvode na koje se odnosi Uredba (EZ) br. 1069/2009 Europskog parlamenta i Vijeća od 21. listopada 2009. o utvrđivanju zdravstvenih pravila za nusproizvode životinjskog podrijetla i od njih dobivene proizvode koji nisu namijenjeni prehrani ljudi te o stavljanju izvan snage Uredbe (EZ) br. 1774/2002 (Uredba o nusproizvodima životinjskog podrijetla) (SL 300, 14. 11. 2009.) (u daljnjem tekstu: Uredba (EZ) br. 1069/2009), kako je zadnje izmijenjena Uredbom Vijeća (EU) br. 1385/2013 od 17. prosinca 2013. o izmjeni uredbi Vijeća (EZ) br. 850/98 i (EZ) br. 1224/2009 i uredbi (EZ) br. 1069/2009, (EU) br. 1379/2013 i (EU) br. 1380/2013 Europskog parlamenta i Vijeća zbog izmjene statusa departmana </w:t>
      </w:r>
      <w:proofErr w:type="spellStart"/>
      <w:r w:rsidRPr="008462CF">
        <w:rPr>
          <w:rFonts w:eastAsia="Times New Roman" w:cs="Times New Roman"/>
          <w:sz w:val="22"/>
          <w:szCs w:val="22"/>
          <w:lang w:eastAsia="hr-HR"/>
        </w:rPr>
        <w:t>Mayotte</w:t>
      </w:r>
      <w:proofErr w:type="spellEnd"/>
      <w:r w:rsidRPr="008462CF">
        <w:rPr>
          <w:rFonts w:eastAsia="Times New Roman" w:cs="Times New Roman"/>
          <w:sz w:val="22"/>
          <w:szCs w:val="22"/>
          <w:lang w:eastAsia="hr-HR"/>
        </w:rPr>
        <w:t xml:space="preserve"> u odnosu na Europsku uniju (SL L 354, 28. 12. 2013.), osim onih koji su namijenjeni spaljivanju, odlaganju na odlagališta ili uporabi u postrojenjima za proizvodnju bioplina ili komposta,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</w:rPr>
        <w:t xml:space="preserve">3. strvine uginulih životinja koje nisu zaklane, uključujući životinje usmrćene radi istrebljenja </w:t>
      </w:r>
      <w:proofErr w:type="spellStart"/>
      <w:r w:rsidRPr="008462CF">
        <w:rPr>
          <w:rFonts w:eastAsia="Times New Roman" w:cs="Times New Roman"/>
          <w:sz w:val="22"/>
          <w:szCs w:val="22"/>
        </w:rPr>
        <w:t>epizootskih</w:t>
      </w:r>
      <w:proofErr w:type="spellEnd"/>
      <w:r w:rsidRPr="008462CF">
        <w:rPr>
          <w:rFonts w:eastAsia="Times New Roman" w:cs="Times New Roman"/>
          <w:sz w:val="22"/>
          <w:szCs w:val="22"/>
        </w:rPr>
        <w:t xml:space="preserve"> bolesti, koje se zbrinjavaju </w:t>
      </w:r>
      <w:r w:rsidRPr="008462CF">
        <w:rPr>
          <w:rFonts w:eastAsia="Times New Roman" w:cs="Times New Roman"/>
          <w:strike/>
          <w:sz w:val="22"/>
          <w:szCs w:val="22"/>
        </w:rPr>
        <w:t>prema posebnom propisu</w:t>
      </w:r>
      <w:r w:rsidRPr="008462CF">
        <w:rPr>
          <w:rFonts w:eastAsia="Times New Roman" w:cs="Times New Roman"/>
          <w:sz w:val="22"/>
          <w:szCs w:val="22"/>
        </w:rPr>
        <w:t xml:space="preserve"> </w:t>
      </w:r>
      <w:r w:rsidRPr="008462CF">
        <w:rPr>
          <w:rFonts w:eastAsia="Times New Roman" w:cs="Times New Roman"/>
          <w:sz w:val="22"/>
          <w:szCs w:val="22"/>
          <w:lang w:eastAsia="hr-HR"/>
        </w:rPr>
        <w:t>sukladno Uredbi (EZ) br. 1069/2009</w:t>
      </w:r>
      <w:r w:rsidRPr="008462CF">
        <w:rPr>
          <w:rFonts w:eastAsia="Times New Roman" w:cs="Times New Roman"/>
          <w:sz w:val="22"/>
          <w:szCs w:val="22"/>
        </w:rPr>
        <w:t>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  <w:lang w:eastAsia="hr-HR"/>
        </w:rPr>
      </w:pPr>
      <w:r w:rsidRPr="008462CF">
        <w:rPr>
          <w:rFonts w:eastAsia="Times New Roman" w:cs="Times New Roman"/>
          <w:sz w:val="22"/>
          <w:szCs w:val="22"/>
          <w:lang w:eastAsia="hr-HR"/>
        </w:rPr>
        <w:t>4. otpad koji nastaje istraživanjem, iskapanjem, obrađivanjem i skladištenjem mineralnih sirovina te radom kamenoloma, a koji je obuhvaćen Direktivom 2006/21/EZ Europskog parlamenta i Vijeća od 15. ožujka 2006. o gospodarenju otpadom od industrija vađenja minerala i o izmjeni Direktive 2004/35/EZ (SL L 102, 11. 4. 2006.), kako je zadnje izmijenjena Uredbom (EZ) br. 596/2009 Europskog parlamenta i Vijeća od 18. lipnja 2009. o prilagodbi većeg broja instrumenata koji podliježu postupku iz članka 251. Ugovora Odluci Vijeća 1999/468/EZ, s obzirom na regulatorni postupak s kontrolom Prilagodba regulatornom postupku s kontrolom – četvrti dio (SL L 188, 18. 7. 2009.),</w:t>
      </w:r>
    </w:p>
    <w:p w:rsidR="00FB1236" w:rsidRPr="008462CF" w:rsidRDefault="00FB1236" w:rsidP="008462CF">
      <w:pPr>
        <w:spacing w:after="120" w:line="240" w:lineRule="auto"/>
        <w:ind w:left="720"/>
        <w:jc w:val="both"/>
        <w:rPr>
          <w:rFonts w:eastAsia="Times New Roman" w:cs="Times New Roman"/>
          <w:sz w:val="22"/>
          <w:szCs w:val="22"/>
          <w:lang w:eastAsia="hr-HR"/>
        </w:rPr>
      </w:pPr>
      <w:r w:rsidRPr="008462CF">
        <w:rPr>
          <w:rFonts w:eastAsia="Times New Roman" w:cs="Times New Roman"/>
          <w:sz w:val="22"/>
          <w:szCs w:val="22"/>
          <w:lang w:eastAsia="hr-HR"/>
        </w:rPr>
        <w:t>5. brodove obuhvaćene Uredbom (EU) br. 1257/2013 Europskog parlamenta i Vijeća od 20. studenoga 2013. o recikliranju brodova i o izmjeni Uredbe (EZ) br. 1013/2006 i Direktive 2009/16/EZ (SL L 330, 10. 12. 2013.).«.</w:t>
      </w:r>
    </w:p>
    <w:p w:rsidR="00FB1236" w:rsidRPr="008462CF" w:rsidRDefault="00FB1236" w:rsidP="008462CF">
      <w:pPr>
        <w:spacing w:after="120" w:line="240" w:lineRule="auto"/>
        <w:jc w:val="both"/>
        <w:rPr>
          <w:rFonts w:cs="Times New Roman"/>
          <w:sz w:val="22"/>
          <w:szCs w:val="22"/>
        </w:rPr>
      </w:pPr>
      <w:r w:rsidRPr="008462CF">
        <w:rPr>
          <w:rFonts w:eastAsia="Times New Roman" w:cs="Times New Roman"/>
          <w:sz w:val="22"/>
          <w:szCs w:val="22"/>
          <w:lang w:eastAsia="hr-HR"/>
        </w:rPr>
        <w:t>(3) Odredbe ovoga Zakona ne odnose se na sedimente koji se premještaju unutar površinskih voda radi gospodarenja vodama i vodenim tokovima ili sprečavanja poplava ili ublažavanja posljedica poplava, suša ili regeneracije zemljišta ako se dokaže da su ti sedimenti neopasni.</w:t>
      </w:r>
      <w:bookmarkStart w:id="0" w:name="_GoBack"/>
      <w:bookmarkEnd w:id="0"/>
    </w:p>
    <w:sectPr w:rsidR="00FB1236" w:rsidRPr="0084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DA2"/>
    <w:multiLevelType w:val="multilevel"/>
    <w:tmpl w:val="9A2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6"/>
    <w:rsid w:val="002E4A5F"/>
    <w:rsid w:val="008462CF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6EFB-4E49-43E9-8264-59451B1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UI"/>
        <w:sz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1236"/>
    <w:rPr>
      <w:i/>
      <w:iCs/>
    </w:rPr>
  </w:style>
  <w:style w:type="character" w:styleId="Strong">
    <w:name w:val="Strong"/>
    <w:basedOn w:val="DefaultParagraphFont"/>
    <w:uiPriority w:val="22"/>
    <w:qFormat/>
    <w:rsid w:val="008462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10_98_19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full/2019_02_14_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7_07_73_1767.html" TargetMode="External"/><Relationship Id="rId5" Type="http://schemas.openxmlformats.org/officeDocument/2006/relationships/hyperlink" Target="http://narodne-novine.nn.hr/clanci/sluzbeni/2013_07_94_21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Jasna Kufrin</cp:lastModifiedBy>
  <cp:revision>2</cp:revision>
  <dcterms:created xsi:type="dcterms:W3CDTF">2020-04-15T13:00:00Z</dcterms:created>
  <dcterms:modified xsi:type="dcterms:W3CDTF">2020-04-15T13:00:00Z</dcterms:modified>
</cp:coreProperties>
</file>